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</w:r>
      <w:r>
        <w:rPr>
          <w:rFonts w:cs="Arial" w:ascii="Arial" w:hAnsi="Arial"/>
          <w:b/>
          <w:sz w:val="24"/>
          <w:szCs w:val="24"/>
        </w:rPr>
        <w:t>SPIS TREŚCI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I.</w:t>
        <w:tab/>
      </w:r>
      <w:r>
        <w:rPr>
          <w:rFonts w:cs="Arial" w:ascii="Arial" w:hAnsi="Arial"/>
          <w:b/>
          <w:caps/>
        </w:rPr>
        <w:t>opis techniczny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  <w:t xml:space="preserve">1. </w:t>
        <w:tab/>
        <w:t>Dane ogólne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1.1.</w:t>
        <w:tab/>
        <w:t>Inwestor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1.2.</w:t>
        <w:tab/>
        <w:t>Podstawa opracowania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1.4.</w:t>
        <w:tab/>
        <w:t xml:space="preserve">Przedmiot i zakres opracowania 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  <w:t>2.</w:t>
        <w:tab/>
        <w:t>Dane szczegółowe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  <w:t>2.1.</w:t>
        <w:tab/>
        <w:t>SZCZEGÓŁOWY ZAKRES prac remontowych w pomieszczeniu stacji wymenników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2.2.</w:t>
        <w:tab/>
        <w:t>WENTYLACJA STACJI WYMIENNIKÓW</w:t>
      </w:r>
    </w:p>
    <w:p>
      <w:pPr>
        <w:pStyle w:val="Normal"/>
        <w:spacing w:lineRule="atLeast" w:line="320" w:before="0" w:after="0"/>
        <w:ind w:left="851" w:hanging="851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II. </w:t>
        <w:tab/>
        <w:t>CZĘŚĆ RYSUNKOWA</w:t>
      </w:r>
    </w:p>
    <w:p>
      <w:pPr>
        <w:pStyle w:val="Normal"/>
        <w:tabs>
          <w:tab w:val="left" w:pos="1418" w:leader="none"/>
          <w:tab w:val="left" w:pos="1843" w:leader="none"/>
        </w:tabs>
        <w:spacing w:lineRule="atLeast" w:line="320" w:before="0" w:after="0"/>
        <w:ind w:left="851" w:hanging="0"/>
        <w:rPr>
          <w:rFonts w:ascii="Arial" w:hAnsi="Arial" w:cs="Arial"/>
        </w:rPr>
      </w:pPr>
      <w:r>
        <w:rPr>
          <w:rFonts w:cs="Arial" w:ascii="Arial" w:hAnsi="Arial"/>
        </w:rPr>
        <w:t>Fragment rzutu piwnic – wentylacja stacji wymienników. Przekrój A_A</w:t>
        <w:tab/>
        <w:t xml:space="preserve">  W-01a</w:t>
      </w:r>
    </w:p>
    <w:p>
      <w:pPr>
        <w:pStyle w:val="Normal"/>
        <w:tabs>
          <w:tab w:val="left" w:pos="1418" w:leader="none"/>
          <w:tab w:val="left" w:pos="1843" w:leader="none"/>
        </w:tabs>
        <w:spacing w:lineRule="atLeast" w:line="320" w:before="0" w:after="0"/>
        <w:ind w:left="851" w:hanging="0"/>
        <w:rPr>
          <w:rFonts w:ascii="Arial" w:hAnsi="Arial" w:cs="Arial"/>
        </w:rPr>
      </w:pPr>
      <w:r>
        <w:rPr>
          <w:rFonts w:cs="Arial" w:ascii="Arial" w:hAnsi="Arial"/>
        </w:rPr>
        <w:t>Fragment rzutu parteru – wentylacja stacji wymienników</w:t>
        <w:tab/>
        <w:tab/>
        <w:tab/>
        <w:t xml:space="preserve">  W-02a</w:t>
      </w:r>
    </w:p>
    <w:p>
      <w:pPr>
        <w:pStyle w:val="Normal"/>
        <w:spacing w:lineRule="auto" w:line="276" w:before="0" w:after="200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lineRule="atLeast" w:line="320" w:before="0" w:after="0"/>
        <w:ind w:left="851" w:hanging="851"/>
        <w:contextualSpacing/>
        <w:rPr>
          <w:rFonts w:ascii="Arial" w:hAnsi="Arial" w:cs="Arial"/>
          <w:b/>
          <w:b/>
          <w:caps/>
          <w:sz w:val="24"/>
          <w:szCs w:val="24"/>
        </w:rPr>
      </w:pPr>
      <w:r>
        <w:rPr>
          <w:rFonts w:cs="Arial" w:ascii="Arial" w:hAnsi="Arial"/>
          <w:b/>
          <w:caps/>
          <w:sz w:val="24"/>
          <w:szCs w:val="24"/>
        </w:rPr>
        <w:t>opis techniczny</w:t>
      </w:r>
    </w:p>
    <w:p>
      <w:pPr>
        <w:pStyle w:val="Normal"/>
        <w:spacing w:lineRule="atLeast" w:line="320" w:before="0" w:after="0"/>
        <w:rPr>
          <w:rFonts w:ascii="Arial" w:hAnsi="Arial" w:cs="Arial"/>
          <w:b/>
          <w:b/>
          <w:caps/>
          <w:sz w:val="24"/>
          <w:szCs w:val="24"/>
        </w:rPr>
      </w:pPr>
      <w:r>
        <w:rPr>
          <w:rFonts w:cs="Arial" w:ascii="Arial" w:hAnsi="Arial"/>
          <w:b/>
          <w:caps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  <w:t xml:space="preserve">1. </w:t>
        <w:tab/>
        <w:t>Dane ogólne</w:t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1.1.</w:t>
        <w:tab/>
        <w:t>Inwestor</w:t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851" w:hanging="143"/>
        <w:rPr>
          <w:rFonts w:ascii="Arial" w:hAnsi="Arial" w:cs="Arial"/>
          <w:color w:val="000000"/>
          <w:szCs w:val="24"/>
        </w:rPr>
      </w:pPr>
      <w:r>
        <w:rPr>
          <w:rFonts w:cs="Arial" w:ascii="Arial" w:hAnsi="Arial"/>
          <w:color w:val="000000"/>
          <w:szCs w:val="24"/>
        </w:rPr>
        <w:t>Miasto Zabrze, ul. Powstańców Śląskich 5-741-800 Zabrze</w:t>
      </w:r>
    </w:p>
    <w:p>
      <w:pPr>
        <w:pStyle w:val="Normal"/>
        <w:spacing w:lineRule="auto" w:line="240" w:before="0" w:after="0"/>
        <w:ind w:left="851" w:hanging="143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1.2.</w:t>
        <w:tab/>
        <w:t>Podstawa opracowania</w:t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tabs>
          <w:tab w:val="left" w:pos="567" w:leader="none"/>
        </w:tabs>
        <w:spacing w:lineRule="auto" w:line="276" w:before="0" w:after="0"/>
        <w:ind w:left="1066" w:hanging="357"/>
        <w:jc w:val="both"/>
        <w:rPr>
          <w:rFonts w:ascii="Arial" w:hAnsi="Arial" w:cs="Arial"/>
        </w:rPr>
      </w:pPr>
      <w:r>
        <w:rPr>
          <w:rFonts w:cs="Arial" w:ascii="Arial" w:hAnsi="Arial"/>
        </w:rPr>
        <w:t>zlecenie Inwestora</w:t>
      </w:r>
    </w:p>
    <w:p>
      <w:pPr>
        <w:pStyle w:val="Normal"/>
        <w:numPr>
          <w:ilvl w:val="0"/>
          <w:numId w:val="2"/>
        </w:numPr>
        <w:tabs>
          <w:tab w:val="left" w:pos="567" w:leader="none"/>
        </w:tabs>
        <w:spacing w:lineRule="auto" w:line="276" w:before="0" w:after="0"/>
        <w:ind w:left="1066" w:hanging="357"/>
        <w:jc w:val="both"/>
        <w:rPr>
          <w:rFonts w:ascii="Arial" w:hAnsi="Arial" w:cs="Arial"/>
        </w:rPr>
      </w:pPr>
      <w:r>
        <w:rPr>
          <w:rFonts w:cs="Arial" w:ascii="Arial" w:hAnsi="Arial"/>
        </w:rPr>
        <w:t>projekt części architektoniczno-budowlanej</w:t>
      </w:r>
    </w:p>
    <w:p>
      <w:pPr>
        <w:pStyle w:val="Normal"/>
        <w:numPr>
          <w:ilvl w:val="0"/>
          <w:numId w:val="2"/>
        </w:numPr>
        <w:tabs>
          <w:tab w:val="left" w:pos="567" w:leader="none"/>
        </w:tabs>
        <w:spacing w:lineRule="auto" w:line="276" w:before="0" w:after="0"/>
        <w:ind w:left="1066" w:hanging="357"/>
        <w:jc w:val="both"/>
        <w:rPr>
          <w:rFonts w:ascii="Arial" w:hAnsi="Arial" w:cs="Arial"/>
        </w:rPr>
      </w:pPr>
      <w:r>
        <w:rPr>
          <w:rFonts w:cs="Arial" w:ascii="Arial" w:hAnsi="Arial"/>
        </w:rPr>
        <w:t>inwentaryzacja instalacyjna własna</w:t>
      </w:r>
    </w:p>
    <w:p>
      <w:pPr>
        <w:pStyle w:val="Normal"/>
        <w:numPr>
          <w:ilvl w:val="0"/>
          <w:numId w:val="2"/>
        </w:numPr>
        <w:tabs>
          <w:tab w:val="left" w:pos="567" w:leader="none"/>
        </w:tabs>
        <w:spacing w:lineRule="auto" w:line="276" w:before="0" w:after="0"/>
        <w:ind w:left="1066" w:hanging="357"/>
        <w:jc w:val="both"/>
        <w:rPr>
          <w:rFonts w:ascii="Arial" w:hAnsi="Arial" w:cs="Arial"/>
        </w:rPr>
      </w:pPr>
      <w:r>
        <w:rPr>
          <w:rFonts w:cs="Arial" w:ascii="Arial" w:hAnsi="Arial"/>
        </w:rPr>
        <w:t>Aneks nr 1/2018 do Warunków Technicznych nr 18/2-18 z dn.21.08.2018 wydanych przez ZPEC</w:t>
      </w:r>
    </w:p>
    <w:p>
      <w:pPr>
        <w:pStyle w:val="Normal"/>
        <w:numPr>
          <w:ilvl w:val="0"/>
          <w:numId w:val="2"/>
        </w:numPr>
        <w:tabs>
          <w:tab w:val="left" w:pos="567" w:leader="none"/>
        </w:tabs>
        <w:spacing w:lineRule="auto" w:line="276" w:before="0" w:after="0"/>
        <w:ind w:left="1066" w:hanging="357"/>
        <w:jc w:val="both"/>
        <w:rPr>
          <w:rFonts w:ascii="Arial" w:hAnsi="Arial" w:cs="Arial"/>
        </w:rPr>
      </w:pPr>
      <w:r>
        <w:rPr>
          <w:rFonts w:cs="Arial" w:ascii="Arial" w:hAnsi="Arial"/>
        </w:rPr>
        <w:t>obowiązujące normy i normatywy</w:t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1.3.</w:t>
        <w:tab/>
        <w:t xml:space="preserve">Przedmiot i zakres opracowania </w:t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426" w:leader="none"/>
          <w:tab w:val="left" w:pos="567" w:leader="none"/>
        </w:tabs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Przedmiotem opracowania jest </w:t>
      </w:r>
      <w:bookmarkStart w:id="0" w:name="__DdeLink__4321_2129325616"/>
      <w:r>
        <w:rPr>
          <w:rFonts w:cs="Arial" w:ascii="Arial" w:hAnsi="Arial"/>
        </w:rPr>
        <w:t xml:space="preserve">Aneks do „Projektu przebudowy wraz z termomodernizacją i zmianą sposobu u żytkowania budynku znajdującego się przy ul. Park Hutniczy 8 w Zabrzu na działce nr 175/35 na potrzeby Centrum Rozwoju Rodziny” w zakresie prac budowlanych związanych z przystosowaniem pomieszczenia stacji wymienników do zabudowy nowych urządzeń technologicznych oraz projektu wentylacji stacji wymienników.  </w:t>
      </w:r>
      <w:bookmarkEnd w:id="0"/>
    </w:p>
    <w:p>
      <w:pPr>
        <w:pStyle w:val="Normal"/>
        <w:tabs>
          <w:tab w:val="left" w:pos="426" w:leader="none"/>
          <w:tab w:val="left" w:pos="567" w:leader="none"/>
        </w:tabs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  <w:t xml:space="preserve">2. </w:t>
        <w:tab/>
        <w:t>Dane SZCZEGÓŁOWE</w:t>
      </w:r>
    </w:p>
    <w:p>
      <w:pPr>
        <w:pStyle w:val="Normal"/>
        <w:tabs>
          <w:tab w:val="left" w:pos="426" w:leader="none"/>
          <w:tab w:val="left" w:pos="567" w:leader="none"/>
        </w:tabs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851" w:hanging="851"/>
        <w:rPr>
          <w:rFonts w:ascii="Arial" w:hAnsi="Arial" w:cs="Arial"/>
        </w:rPr>
      </w:pPr>
      <w:r>
        <w:rPr>
          <w:rFonts w:cs="Arial" w:ascii="Arial" w:hAnsi="Arial"/>
        </w:rPr>
        <w:t>2.1.</w:t>
        <w:tab/>
        <w:t>Szczegółowy zakres prac remontowych w pomieszczeniu stacji wymenników</w:t>
      </w:r>
    </w:p>
    <w:p>
      <w:pPr>
        <w:pStyle w:val="Normal"/>
        <w:tabs>
          <w:tab w:val="left" w:pos="426" w:leader="none"/>
          <w:tab w:val="left" w:pos="567" w:leader="none"/>
        </w:tabs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426" w:leader="none"/>
          <w:tab w:val="left" w:pos="567" w:leader="none"/>
        </w:tabs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Szczegółowy zakres prac::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skucie tynku ze ścian i sufitu, tynkowanie oraz malowanie ścian i sufitu farbą emulsyjną,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skucie istniejącej i wykonanie nowej posadzki betonowej - posadzka winna posiadać spadek w kierunku kratki ściekowej,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drzwi wejściowe do pomieszczenia, otwierane na zewnątrz pomieszczenia węzła, jednoskrzydłowe, stalowe EI30, zabezpieczone przed włamaniem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Wymiary drzwi zgodne z wymaganiami BN-90/8864-46 o szerokości 0,8 m, jeżeli jest możliwe to 0,9m i wysokości min. 2,0 m.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Ściany i strop pomieszczenia węzła z materiałów niepalnych EI60, otynkować i pomalować na kolor biały powłokami malarskimi chroniącymi przed przenikaniem wilgoci.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Posadzka z materiałów niepalnych. Powierzchnia posadzki gładka, ze spadkiem ok. 1% w kierunku wpustu podłogowego, odporna na uderzenia mechaniczne oraz zmiany temperatur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Instalacje sanitarne.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W pomieszczeniu węzła należy wykonać wpust podłogowy z syfonem z odprowadzeniem do kanalizacji lub (w przypadku braku takiej możliwości) do studzienki schładzającej wyposażonej w pompę zatapialną sterowaną wyłącznikiem pływakowym. Wymiary studzienki powinny zapewniać prawidłową pracę pompy i wyłącznika pływakowego. Przykrycie studzienki łatwe do demontażu. Odpływ do kanalizacji (przewód tłoczny z pompy) należy prowadzić w sposób niekolidujący z obsługą i pracą węzła cieplnego. . Lokalizację wpustu podłogowego. należy uzgodnić z ZPEC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Demontażu urządzeń istniejących z węzła cieplnego w obiekcie dokona ZPEC Sp. z o.o. w porozumieniu z Wykonawcą.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Instalacje elektryczne.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Zastosować wielkość zabezpieczenia przedlicznikowego stosownie do mocy elektrycznej odbiorników węzła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Wykonać instalację elektryczną zasilającą od tablicy głównej budynku do licznika energii elektrycznej przewodem 10mm2 oraz od licznika do węzła cieplnego przewodem min. 4 mm2, w rurce instalacyjnej PCV giętkiej w wykonaniu pod tynkiem lub w rurce instalacyjnej PCV sztywnej na tynku.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Zamontować w węźle cieplnym rozdzielnicę naścienną z II klasą ochronności, IP55.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Zamontować GSU (główną szynę uziemiającą) na ścianie w pomieszczeniu węzła w pobliżu wejścia sieci ciepłowniczej wysokiego parametru,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Instalację elektryczną wykonać w pomieszczeniu węzła na tynku w listwach montażowych lub w rurkach sztywnych,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-  Zamontować w węźle cieplnym na suficie oświetlenie świetlówkowe przemysłowe hermetyczne o natężeniu 200 Lux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2.2.</w:t>
        <w:tab/>
        <w:t>Wentylacja stacji wymienników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W pomieszczeniu węzła cieplnego należy zapewnić wentylację grawitacyjną nawiewno-wywiewną. Kierunek nawiewu powietrza nie powinien odbywać się bezpośrednio na urządzenia.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Przewody wentylacyjne poprowadzone w wyciętej w ścianie bruździe z kanałem blaszanym 15 x 20 cm z blachy nierdzewnej wyprowadzony przez ścianę parteru. Bruzdy wykonywać precyzyjnie poprzez wykonanie mapy nawierceń o wymaganej głębokości a następnie wycinając bruzdę w sposób uniemożliwiający przebicie ściany na wylot. 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Na wlocie kanału nawiewnego należy zabudować czerpnię ścienną o gabarytach 20 x 15 cm.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Wylot kanału nawiewnego winien być zabudowany na wysokości 30 cm nad posadzką i uzbrojony w kratkę wentylacyjną nawiewną o wielkości 20 x 15 cm.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Kanał wywiewny blaszany z bl. ocynk. został ujęty w projekcie części konstrukcyjno-budowlanej w pierwotnym opracowaniu. </w:t>
      </w:r>
    </w:p>
    <w:p>
      <w:pPr>
        <w:pStyle w:val="Normal"/>
        <w:spacing w:lineRule="auto" w:line="276" w:before="0" w:after="200"/>
        <w:rPr/>
      </w:pPr>
      <w:r>
        <w:rPr/>
      </w:r>
      <w:r>
        <w:br w:type="page"/>
      </w:r>
    </w:p>
    <w:p>
      <w:pPr>
        <w:pStyle w:val="ListParagraph"/>
        <w:numPr>
          <w:ilvl w:val="0"/>
          <w:numId w:val="1"/>
        </w:numPr>
        <w:spacing w:lineRule="atLeast" w:line="320" w:before="0" w:after="0"/>
        <w:ind w:left="851" w:hanging="851"/>
        <w:contextualSpacing/>
        <w:rPr>
          <w:rFonts w:ascii="Arial" w:hAnsi="Arial" w:cs="Arial"/>
          <w:b/>
          <w:b/>
          <w:caps/>
          <w:sz w:val="24"/>
          <w:szCs w:val="24"/>
        </w:rPr>
      </w:pPr>
      <w:r>
        <w:rPr>
          <w:rFonts w:cs="Arial" w:ascii="Arial" w:hAnsi="Arial"/>
          <w:b/>
          <w:caps/>
          <w:sz w:val="24"/>
          <w:szCs w:val="24"/>
        </w:rPr>
        <w:t>Część rysunkowa</w:t>
      </w:r>
    </w:p>
    <w:p>
      <w:pPr>
        <w:pStyle w:val="Normal"/>
        <w:spacing w:lineRule="auto" w:line="276" w:before="0" w:after="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left" w:pos="1418" w:leader="none"/>
          <w:tab w:val="left" w:pos="1843" w:leader="none"/>
        </w:tabs>
        <w:spacing w:lineRule="atLeast" w:line="320"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>Fragment rzutu piwnic – wentylacja stacji wymienników. Przekrój A_A</w:t>
        <w:tab/>
        <w:t xml:space="preserve">  W-01a</w:t>
      </w:r>
    </w:p>
    <w:p>
      <w:pPr>
        <w:pStyle w:val="ListParagraph"/>
        <w:numPr>
          <w:ilvl w:val="0"/>
          <w:numId w:val="3"/>
        </w:numPr>
        <w:tabs>
          <w:tab w:val="left" w:pos="1418" w:leader="none"/>
          <w:tab w:val="left" w:pos="1843" w:leader="none"/>
        </w:tabs>
        <w:spacing w:lineRule="atLeast" w:line="320"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>Fragment rzutu parteru – wentylacja stacji wymienników</w:t>
        <w:tab/>
        <w:tab/>
        <w:tab/>
        <w:t xml:space="preserve">  W-02a</w:t>
      </w:r>
    </w:p>
    <w:p>
      <w:pPr>
        <w:pStyle w:val="Normal"/>
        <w:spacing w:lineRule="auto" w:line="276" w:before="0" w:after="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212" w:hanging="85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75e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qFormat/>
    <w:rsid w:val="00be3bac"/>
    <w:rPr>
      <w:rFonts w:ascii="Arial" w:hAnsi="Arial" w:eastAsia="Times New Roman" w:cs="Times New Roman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e3ba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Arial" w:hAnsi="Arial" w:cs="Times New Roman"/>
    </w:rPr>
  </w:style>
  <w:style w:type="character" w:styleId="ListLabel2">
    <w:name w:val="ListLabel 2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odyText2">
    <w:name w:val="Body Text 2"/>
    <w:basedOn w:val="Normal"/>
    <w:link w:val="Tekstpodstawowy2Znak"/>
    <w:qFormat/>
    <w:rsid w:val="00be3bac"/>
    <w:pPr>
      <w:spacing w:lineRule="atLeast" w:line="320" w:before="0" w:after="0"/>
      <w:jc w:val="both"/>
    </w:pPr>
    <w:rPr>
      <w:rFonts w:ascii="Arial" w:hAnsi="Arial" w:eastAsia="Times New Roman" w:cs="Times New Roman"/>
      <w:szCs w:val="20"/>
      <w:lang w:eastAsia="pl-PL"/>
    </w:rPr>
  </w:style>
  <w:style w:type="paragraph" w:styleId="ListParagraph">
    <w:name w:val="List Paragraph"/>
    <w:basedOn w:val="Normal"/>
    <w:uiPriority w:val="34"/>
    <w:qFormat/>
    <w:rsid w:val="00be3bac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3b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LibreOffice/6.1.0.3$Windows_X86_64 LibreOffice_project/efb621ed25068d70781dc026f7e9c5187a4decd1</Application>
  <Pages>4</Pages>
  <Words>635</Words>
  <Characters>4072</Characters>
  <CharactersWithSpaces>4686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2019-01-14T11:32:00Z</dcterms:created>
  <dc:creator>azuchszczepanowska</dc:creator>
  <dc:description/>
  <dc:language>pl-PL</dc:language>
  <cp:lastModifiedBy>azuchszczepanowska</cp:lastModifiedBy>
  <cp:lastPrinted>2019-01-17T02:18:58Z</cp:lastPrinted>
  <dcterms:modified xsi:type="dcterms:W3CDTF">2019-01-14T12:46:00Z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